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6C5F6A83" w:rsidR="001E699D" w:rsidRPr="00E3707B" w:rsidRDefault="0030220F" w:rsidP="00E3707B">
      <w:pPr>
        <w:pStyle w:val="Heading1"/>
        <w:tabs>
          <w:tab w:val="left" w:pos="3690"/>
        </w:tabs>
        <w:spacing w:after="360"/>
        <w:rPr>
          <w:color w:val="12284C" w:themeColor="text2"/>
          <w:sz w:val="28"/>
          <w:szCs w:val="36"/>
        </w:rPr>
      </w:pPr>
      <w:r>
        <w:rPr>
          <w:color w:val="12284C" w:themeColor="text2"/>
          <w:sz w:val="28"/>
          <w:szCs w:val="36"/>
        </w:rPr>
        <w:t xml:space="preserve">Production </w:t>
      </w:r>
      <w:r w:rsidR="00A1509F">
        <w:rPr>
          <w:color w:val="12284C" w:themeColor="text2"/>
          <w:sz w:val="28"/>
          <w:szCs w:val="36"/>
        </w:rPr>
        <w:t>Print Reading I</w:t>
      </w:r>
      <w:r w:rsidR="00E3707B" w:rsidRPr="00E3707B">
        <w:rPr>
          <w:color w:val="12284C" w:themeColor="text2"/>
          <w:sz w:val="28"/>
          <w:szCs w:val="36"/>
        </w:rPr>
        <w:tab/>
      </w:r>
      <w:r w:rsidR="00E3707B">
        <w:rPr>
          <w:color w:val="12284C" w:themeColor="text2"/>
          <w:sz w:val="28"/>
          <w:szCs w:val="36"/>
        </w:rPr>
        <w:t xml:space="preserve">Course No. </w:t>
      </w:r>
      <w:r w:rsidR="00106A48">
        <w:rPr>
          <w:color w:val="12284C" w:themeColor="text2"/>
          <w:sz w:val="28"/>
          <w:szCs w:val="36"/>
        </w:rPr>
        <w:fldChar w:fldCharType="begin"/>
      </w:r>
      <w:r w:rsidR="00106A48">
        <w:rPr>
          <w:color w:val="12284C" w:themeColor="text2"/>
          <w:sz w:val="28"/>
          <w:szCs w:val="36"/>
        </w:rPr>
        <w:instrText xml:space="preserve"> SUBJECT   \* MERGEFORMAT </w:instrText>
      </w:r>
      <w:r w:rsidR="00106A48">
        <w:rPr>
          <w:color w:val="12284C" w:themeColor="text2"/>
          <w:sz w:val="28"/>
          <w:szCs w:val="36"/>
        </w:rPr>
        <w:fldChar w:fldCharType="separate"/>
      </w:r>
      <w:r w:rsidR="00CC251C">
        <w:rPr>
          <w:color w:val="12284C" w:themeColor="text2"/>
          <w:sz w:val="28"/>
          <w:szCs w:val="36"/>
        </w:rPr>
        <w:t>21108</w:t>
      </w:r>
      <w:r w:rsidR="00106A48">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sidR="00106A48">
        <w:rPr>
          <w:color w:val="12284C" w:themeColor="text2"/>
          <w:sz w:val="28"/>
          <w:szCs w:val="36"/>
        </w:rPr>
        <w:fldChar w:fldCharType="begin"/>
      </w:r>
      <w:r w:rsidR="00106A48">
        <w:rPr>
          <w:color w:val="12284C" w:themeColor="text2"/>
          <w:sz w:val="28"/>
          <w:szCs w:val="36"/>
        </w:rPr>
        <w:instrText xml:space="preserve"> INFO  Comments  \* MERGEFORMAT </w:instrText>
      </w:r>
      <w:r w:rsidR="00106A48">
        <w:rPr>
          <w:color w:val="12284C" w:themeColor="text2"/>
          <w:sz w:val="28"/>
          <w:szCs w:val="36"/>
        </w:rPr>
        <w:fldChar w:fldCharType="separate"/>
      </w:r>
      <w:r w:rsidR="00CC251C">
        <w:rPr>
          <w:color w:val="12284C" w:themeColor="text2"/>
          <w:sz w:val="28"/>
          <w:szCs w:val="36"/>
        </w:rPr>
        <w:t>0.5</w:t>
      </w:r>
      <w:r w:rsidR="00106A48">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19004EC" w14:textId="77777777" w:rsidR="00CC251C" w:rsidRDefault="00CC251C" w:rsidP="00CC251C">
      <w:pPr>
        <w:spacing w:before="0" w:after="0"/>
        <w:rPr>
          <w:rStyle w:val="Regular"/>
        </w:rPr>
      </w:pPr>
    </w:p>
    <w:p w14:paraId="3A22025F" w14:textId="1E66EEAE" w:rsidR="00CC251C" w:rsidRDefault="009C4EE4" w:rsidP="00CC251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C251C">
        <w:rPr>
          <w:rStyle w:val="Regular"/>
        </w:rPr>
        <w:t xml:space="preserve"> </w:t>
      </w:r>
      <w:r w:rsidR="00CC251C" w:rsidRPr="00CC251C">
        <w:rPr>
          <w:rFonts w:ascii="Open Sans Light" w:eastAsia="Times New Roman" w:hAnsi="Open Sans Light" w:cs="Open Sans Light"/>
          <w:color w:val="000000"/>
          <w:kern w:val="0"/>
          <w:sz w:val="20"/>
          <w:szCs w:val="20"/>
          <w14:ligatures w14:val="none"/>
        </w:rPr>
        <w:t>Aviation Production (15.0000) - Design &amp; Production Strand;</w:t>
      </w:r>
      <w:r w:rsidR="004649FA" w:rsidRPr="004649FA">
        <w:rPr>
          <w:rFonts w:ascii="Open Sans Light" w:eastAsia="Times New Roman" w:hAnsi="Open Sans Light" w:cs="Open Sans Light"/>
          <w:color w:val="000000"/>
          <w:kern w:val="0"/>
          <w:sz w:val="20"/>
          <w:szCs w:val="20"/>
          <w14:ligatures w14:val="none"/>
        </w:rPr>
        <w:t xml:space="preserve"> </w:t>
      </w:r>
      <w:r w:rsidR="004649FA">
        <w:rPr>
          <w:rFonts w:ascii="Open Sans Light" w:eastAsia="Times New Roman" w:hAnsi="Open Sans Light" w:cs="Open Sans Light"/>
          <w:color w:val="000000"/>
          <w:kern w:val="0"/>
          <w:sz w:val="20"/>
          <w:szCs w:val="20"/>
          <w14:ligatures w14:val="none"/>
        </w:rPr>
        <w:t>Aviation Maintenance and Operations (47.0607</w:t>
      </w:r>
      <w:r w:rsidR="004649FA">
        <w:rPr>
          <w:rFonts w:ascii="Open Sans Light" w:eastAsia="Times New Roman" w:hAnsi="Open Sans Light" w:cs="Open Sans Light"/>
          <w:color w:val="000000"/>
          <w:kern w:val="0"/>
          <w:sz w:val="20"/>
          <w:szCs w:val="20"/>
          <w14:ligatures w14:val="none"/>
        </w:rPr>
        <w:t>)</w:t>
      </w:r>
      <w:r w:rsidR="00CC251C" w:rsidRPr="00CC251C">
        <w:rPr>
          <w:rFonts w:ascii="Open Sans Light" w:eastAsia="Times New Roman" w:hAnsi="Open Sans Light" w:cs="Open Sans Light"/>
          <w:color w:val="000000"/>
          <w:kern w:val="0"/>
          <w:sz w:val="20"/>
          <w:szCs w:val="20"/>
          <w14:ligatures w14:val="none"/>
        </w:rPr>
        <w:t xml:space="preserve">; Construction &amp; Design (46.0000) - Construction &amp; Design Strand; </w:t>
      </w:r>
      <w:r w:rsidR="00CC251C" w:rsidRPr="00CC251C">
        <w:rPr>
          <w:rFonts w:ascii="Open Sans Light" w:eastAsia="Times New Roman" w:hAnsi="Open Sans Light" w:cs="Open Sans Light"/>
          <w:b/>
          <w:bCs/>
          <w:color w:val="000000"/>
          <w:kern w:val="0"/>
          <w:sz w:val="20"/>
          <w:szCs w:val="20"/>
          <w14:ligatures w14:val="none"/>
        </w:rPr>
        <w:t>Engineering &amp; Applied Mathematics (14.0101)</w:t>
      </w:r>
      <w:r w:rsidR="00CC251C" w:rsidRPr="00CC251C">
        <w:rPr>
          <w:rFonts w:ascii="Open Sans Light" w:eastAsia="Times New Roman" w:hAnsi="Open Sans Light" w:cs="Open Sans Light"/>
          <w:color w:val="000000"/>
          <w:kern w:val="0"/>
          <w:sz w:val="20"/>
          <w:szCs w:val="20"/>
          <w14:ligatures w14:val="none"/>
        </w:rPr>
        <w:t>; Manufacturing (48.0000) - Production &amp; Maintenance Strand</w:t>
      </w:r>
      <w:r w:rsidR="001F1A82">
        <w:rPr>
          <w:rFonts w:ascii="Open Sans Light" w:eastAsia="Times New Roman" w:hAnsi="Open Sans Light" w:cs="Open Sans Light"/>
          <w:color w:val="000000"/>
          <w:kern w:val="0"/>
          <w:sz w:val="20"/>
          <w:szCs w:val="20"/>
          <w14:ligatures w14:val="none"/>
        </w:rPr>
        <w:t>; Automation Engineering (15.0406)</w:t>
      </w:r>
    </w:p>
    <w:p w14:paraId="3762DE5E" w14:textId="77777777" w:rsidR="00CC251C" w:rsidRDefault="00CC251C" w:rsidP="00CC251C">
      <w:pPr>
        <w:spacing w:before="0" w:after="0"/>
        <w:rPr>
          <w:rFonts w:ascii="Open Sans Light" w:eastAsia="Times New Roman" w:hAnsi="Open Sans Light" w:cs="Open Sans Light"/>
          <w:color w:val="000000"/>
          <w:kern w:val="0"/>
          <w:sz w:val="20"/>
          <w:szCs w:val="20"/>
          <w14:ligatures w14:val="none"/>
        </w:rPr>
      </w:pPr>
    </w:p>
    <w:p w14:paraId="17A2153D" w14:textId="53782A50" w:rsidR="00CC251C" w:rsidRPr="00CC251C" w:rsidRDefault="009C4EE4" w:rsidP="00CC251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C251C" w:rsidRPr="00CC251C">
        <w:rPr>
          <w:rFonts w:ascii="Open Sans Light" w:eastAsia="Times New Roman" w:hAnsi="Open Sans Light" w:cs="Open Sans Light"/>
          <w:color w:val="000000"/>
          <w:kern w:val="0"/>
          <w:sz w:val="20"/>
          <w:szCs w:val="20"/>
          <w14:ligatures w14:val="none"/>
        </w:rPr>
        <w:t>An</w:t>
      </w:r>
      <w:r w:rsidR="00CC251C" w:rsidRPr="00CC251C">
        <w:rPr>
          <w:rFonts w:ascii="Open Sans Light" w:eastAsia="Times New Roman" w:hAnsi="Open Sans Light" w:cs="Open Sans Light"/>
          <w:b/>
          <w:bCs/>
          <w:color w:val="000000"/>
          <w:kern w:val="0"/>
          <w:sz w:val="20"/>
          <w:szCs w:val="20"/>
          <w14:ligatures w14:val="none"/>
        </w:rPr>
        <w:t xml:space="preserve"> introductory level</w:t>
      </w:r>
      <w:r w:rsidR="00CC251C" w:rsidRPr="00CC251C">
        <w:rPr>
          <w:rFonts w:ascii="Open Sans Light" w:eastAsia="Times New Roman" w:hAnsi="Open Sans Light" w:cs="Open Sans Light"/>
          <w:color w:val="000000"/>
          <w:kern w:val="0"/>
          <w:sz w:val="20"/>
          <w:szCs w:val="20"/>
          <w14:ligatures w14:val="none"/>
        </w:rPr>
        <w:t xml:space="preserve"> course to provide students with the knowledge and ability to interpret the lines, symbols, and conventions</w:t>
      </w:r>
      <w:r w:rsidR="00CC251C">
        <w:rPr>
          <w:rFonts w:ascii="Open Sans Light" w:eastAsia="Times New Roman" w:hAnsi="Open Sans Light" w:cs="Open Sans Light"/>
          <w:color w:val="000000"/>
          <w:kern w:val="0"/>
          <w:sz w:val="20"/>
          <w:szCs w:val="20"/>
          <w14:ligatures w14:val="none"/>
        </w:rPr>
        <w:t xml:space="preserve"> </w:t>
      </w:r>
      <w:r w:rsidR="00CC251C" w:rsidRPr="00CC251C">
        <w:rPr>
          <w:rFonts w:ascii="Open Sans Light" w:eastAsia="Times New Roman" w:hAnsi="Open Sans Light" w:cs="Open Sans Light"/>
          <w:color w:val="000000"/>
          <w:kern w:val="0"/>
          <w:sz w:val="20"/>
          <w:szCs w:val="20"/>
          <w14:ligatures w14:val="none"/>
        </w:rPr>
        <w:t xml:space="preserve">of drafted blueprints. They </w:t>
      </w:r>
      <w:r w:rsidR="00144EAA" w:rsidRPr="00CC251C">
        <w:rPr>
          <w:rFonts w:ascii="Open Sans Light" w:eastAsia="Times New Roman" w:hAnsi="Open Sans Light" w:cs="Open Sans Light"/>
          <w:color w:val="000000"/>
          <w:kern w:val="0"/>
          <w:sz w:val="20"/>
          <w:szCs w:val="20"/>
          <w14:ligatures w14:val="none"/>
        </w:rPr>
        <w:t>emphasize</w:t>
      </w:r>
      <w:r w:rsidR="00CC251C" w:rsidRPr="00CC251C">
        <w:rPr>
          <w:rFonts w:ascii="Open Sans Light" w:eastAsia="Times New Roman" w:hAnsi="Open Sans Light" w:cs="Open Sans Light"/>
          <w:color w:val="000000"/>
          <w:kern w:val="0"/>
          <w:sz w:val="20"/>
          <w:szCs w:val="20"/>
          <w14:ligatures w14:val="none"/>
        </w:rPr>
        <w:t xml:space="preserve"> interpreting, not producing, blueprints, although the courses may provide both</w:t>
      </w:r>
      <w:r w:rsidR="00CC251C">
        <w:rPr>
          <w:rFonts w:ascii="Open Sans Light" w:eastAsia="Times New Roman" w:hAnsi="Open Sans Light" w:cs="Open Sans Light"/>
          <w:color w:val="000000"/>
          <w:kern w:val="0"/>
          <w:sz w:val="20"/>
          <w:szCs w:val="20"/>
          <w14:ligatures w14:val="none"/>
        </w:rPr>
        <w:t xml:space="preserve"> </w:t>
      </w:r>
      <w:r w:rsidR="00CC251C" w:rsidRPr="00CC251C">
        <w:rPr>
          <w:rFonts w:ascii="Open Sans Light" w:eastAsia="Times New Roman" w:hAnsi="Open Sans Light" w:cs="Open Sans Light"/>
          <w:color w:val="000000"/>
          <w:kern w:val="0"/>
          <w:sz w:val="20"/>
          <w:szCs w:val="20"/>
          <w14:ligatures w14:val="none"/>
        </w:rPr>
        <w:t>types of experiences. Blueprint Reading courses typically use examples from a wide variety of industrial and technological</w:t>
      </w:r>
      <w:r w:rsidR="00CC251C">
        <w:rPr>
          <w:rFonts w:ascii="Open Sans Light" w:eastAsia="Times New Roman" w:hAnsi="Open Sans Light" w:cs="Open Sans Light"/>
          <w:color w:val="000000"/>
          <w:kern w:val="0"/>
          <w:sz w:val="20"/>
          <w:szCs w:val="20"/>
          <w14:ligatures w14:val="none"/>
        </w:rPr>
        <w:t xml:space="preserve"> </w:t>
      </w:r>
      <w:r w:rsidR="00CC251C" w:rsidRPr="00CC251C">
        <w:rPr>
          <w:rFonts w:ascii="Open Sans Light" w:eastAsia="Times New Roman" w:hAnsi="Open Sans Light" w:cs="Open Sans Light"/>
          <w:color w:val="000000"/>
          <w:kern w:val="0"/>
          <w:sz w:val="20"/>
          <w:szCs w:val="20"/>
          <w14:ligatures w14:val="none"/>
        </w:rPr>
        <w:t>applications.</w:t>
      </w:r>
    </w:p>
    <w:p w14:paraId="4FBDB71A" w14:textId="070918C5" w:rsidR="009C4EE4" w:rsidRPr="00CC251C" w:rsidRDefault="009C4EE4" w:rsidP="00CC251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8247398" w:rsidR="009C4EE4" w:rsidRPr="003F2990" w:rsidRDefault="009C4EE4" w:rsidP="00047F95">
      <w:pPr>
        <w:pStyle w:val="Heading2"/>
      </w:pPr>
      <w:bookmarkStart w:id="0" w:name="_Hlk187387608"/>
      <w:r w:rsidRPr="003F2990">
        <w:t>Benchmark 1:</w:t>
      </w:r>
      <w:r w:rsidR="00B30998" w:rsidRPr="003F2990">
        <w:t xml:space="preserve"> </w:t>
      </w:r>
      <w:sdt>
        <w:sdtPr>
          <w:id w:val="-1253581834"/>
          <w:placeholder>
            <w:docPart w:val="D49EA454F2F34995B1785BC97469518D"/>
          </w:placeholder>
        </w:sdtPr>
        <w:sdtEndPr/>
        <w:sdtContent>
          <w:r w:rsidR="00604F09">
            <w:t xml:space="preserve"> BASIC PrINT READING</w:t>
          </w:r>
        </w:sdtContent>
      </w:sdt>
    </w:p>
    <w:bookmarkEnd w:id="0"/>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4B4D28">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C251C" w:rsidRPr="009F713B" w14:paraId="3475336C" w14:textId="77777777" w:rsidTr="004B4D2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CC251C" w:rsidRPr="00334670" w:rsidRDefault="00CC251C" w:rsidP="00CC251C">
            <w:pPr>
              <w:pStyle w:val="TableLeftcolumn"/>
            </w:pPr>
            <w:r w:rsidRPr="00334670">
              <w:t>1.1</w:t>
            </w:r>
          </w:p>
        </w:tc>
        <w:tc>
          <w:tcPr>
            <w:tcW w:w="8200" w:type="dxa"/>
            <w:vAlign w:val="center"/>
          </w:tcPr>
          <w:p w14:paraId="4F3DC746" w14:textId="0B63A2C7" w:rsidR="00CC251C" w:rsidRPr="00D53139" w:rsidRDefault="00CC251C" w:rsidP="00CC251C">
            <w:pPr>
              <w:pStyle w:val="Tabletext"/>
            </w:pPr>
            <w:r>
              <w:rPr>
                <w:rFonts w:ascii="Open Sans Light" w:hAnsi="Open Sans Light" w:cs="Open Sans Light"/>
                <w:color w:val="000000"/>
              </w:rPr>
              <w:t>Identify symbols associated with blueprints.</w:t>
            </w:r>
          </w:p>
        </w:tc>
        <w:tc>
          <w:tcPr>
            <w:tcW w:w="877" w:type="dxa"/>
            <w:tcBorders>
              <w:left w:val="nil"/>
              <w:bottom w:val="single" w:sz="8" w:space="0" w:color="auto"/>
            </w:tcBorders>
            <w:vAlign w:val="bottom"/>
          </w:tcPr>
          <w:p w14:paraId="1012989B" w14:textId="5DBA88DF" w:rsidR="00CC251C" w:rsidRPr="00ED28EF" w:rsidRDefault="00CC251C" w:rsidP="00CC251C">
            <w:pPr>
              <w:pStyle w:val="Tabletext"/>
              <w:rPr>
                <w:rStyle w:val="Formentry12ptopunderline"/>
              </w:rPr>
            </w:pPr>
          </w:p>
        </w:tc>
      </w:tr>
      <w:tr w:rsidR="00CC251C" w:rsidRPr="009F713B" w14:paraId="422523F4" w14:textId="77777777" w:rsidTr="004B4D28">
        <w:tc>
          <w:tcPr>
            <w:tcW w:w="705" w:type="dxa"/>
          </w:tcPr>
          <w:p w14:paraId="0F428A28" w14:textId="77777777" w:rsidR="00CC251C" w:rsidRPr="00334670" w:rsidRDefault="00CC251C" w:rsidP="00CC251C">
            <w:pPr>
              <w:pStyle w:val="TableLeftcolumn"/>
            </w:pPr>
            <w:r w:rsidRPr="00334670">
              <w:t>1.2</w:t>
            </w:r>
          </w:p>
        </w:tc>
        <w:tc>
          <w:tcPr>
            <w:tcW w:w="8200" w:type="dxa"/>
            <w:vAlign w:val="center"/>
          </w:tcPr>
          <w:p w14:paraId="06BAE4CB" w14:textId="08685A14" w:rsidR="00CC251C" w:rsidRPr="00334670" w:rsidRDefault="00CC251C" w:rsidP="00CC251C">
            <w:pPr>
              <w:pStyle w:val="Tabletext"/>
            </w:pPr>
            <w:r>
              <w:rPr>
                <w:rFonts w:ascii="Open Sans Light" w:hAnsi="Open Sans Light" w:cs="Open Sans Light"/>
                <w:color w:val="000000"/>
              </w:rPr>
              <w:t>Interpret work from multiview drawings.</w:t>
            </w:r>
          </w:p>
        </w:tc>
        <w:tc>
          <w:tcPr>
            <w:tcW w:w="877" w:type="dxa"/>
            <w:tcBorders>
              <w:top w:val="single" w:sz="8" w:space="0" w:color="auto"/>
              <w:left w:val="nil"/>
              <w:bottom w:val="single" w:sz="8" w:space="0" w:color="auto"/>
            </w:tcBorders>
            <w:vAlign w:val="bottom"/>
          </w:tcPr>
          <w:p w14:paraId="4AE8056E" w14:textId="5821B5D7" w:rsidR="00CC251C" w:rsidRPr="00ED28EF" w:rsidRDefault="00CC251C" w:rsidP="00CC251C">
            <w:pPr>
              <w:pStyle w:val="Tabletext"/>
              <w:rPr>
                <w:rStyle w:val="Formentry12ptopunderline"/>
              </w:rPr>
            </w:pPr>
          </w:p>
        </w:tc>
      </w:tr>
      <w:tr w:rsidR="00CC251C" w:rsidRPr="009F713B" w14:paraId="0F857F0B" w14:textId="77777777" w:rsidTr="004B4D2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CC251C" w:rsidRPr="00334670" w:rsidRDefault="00CC251C" w:rsidP="00CC251C">
            <w:pPr>
              <w:pStyle w:val="TableLeftcolumn"/>
            </w:pPr>
            <w:r w:rsidRPr="00334670">
              <w:t>1.3</w:t>
            </w:r>
          </w:p>
        </w:tc>
        <w:tc>
          <w:tcPr>
            <w:tcW w:w="8200" w:type="dxa"/>
            <w:vAlign w:val="center"/>
          </w:tcPr>
          <w:p w14:paraId="4824A4FC" w14:textId="26546412" w:rsidR="00CC251C" w:rsidRPr="00334670" w:rsidRDefault="00CC251C" w:rsidP="00CC251C">
            <w:pPr>
              <w:pStyle w:val="Tabletext"/>
            </w:pPr>
            <w:r>
              <w:rPr>
                <w:rFonts w:ascii="Open Sans Light" w:hAnsi="Open Sans Light" w:cs="Open Sans Light"/>
                <w:color w:val="000000"/>
              </w:rPr>
              <w:t>Interpret size and location of features.</w:t>
            </w:r>
          </w:p>
        </w:tc>
        <w:tc>
          <w:tcPr>
            <w:tcW w:w="877" w:type="dxa"/>
            <w:tcBorders>
              <w:top w:val="single" w:sz="8" w:space="0" w:color="auto"/>
              <w:left w:val="nil"/>
              <w:bottom w:val="single" w:sz="8" w:space="0" w:color="auto"/>
            </w:tcBorders>
            <w:vAlign w:val="bottom"/>
          </w:tcPr>
          <w:p w14:paraId="40DA3DE6" w14:textId="2049E95A" w:rsidR="00CC251C" w:rsidRPr="00ED28EF" w:rsidRDefault="00CC251C" w:rsidP="00CC251C">
            <w:pPr>
              <w:pStyle w:val="Tabletext"/>
              <w:rPr>
                <w:rStyle w:val="Formentry12ptopunderline"/>
              </w:rPr>
            </w:pPr>
          </w:p>
        </w:tc>
      </w:tr>
      <w:tr w:rsidR="00CC251C" w:rsidRPr="009F713B" w14:paraId="12A00709" w14:textId="77777777" w:rsidTr="004B4D28">
        <w:tc>
          <w:tcPr>
            <w:tcW w:w="705" w:type="dxa"/>
          </w:tcPr>
          <w:p w14:paraId="0F677E59" w14:textId="77777777" w:rsidR="00CC251C" w:rsidRPr="00334670" w:rsidRDefault="00CC251C" w:rsidP="00CC251C">
            <w:pPr>
              <w:pStyle w:val="TableLeftcolumn"/>
            </w:pPr>
            <w:r w:rsidRPr="00334670">
              <w:t>1.4</w:t>
            </w:r>
          </w:p>
        </w:tc>
        <w:tc>
          <w:tcPr>
            <w:tcW w:w="8200" w:type="dxa"/>
            <w:vAlign w:val="center"/>
          </w:tcPr>
          <w:p w14:paraId="1066DC66" w14:textId="0E8FBFDD" w:rsidR="00CC251C" w:rsidRPr="00334670" w:rsidRDefault="00CC251C" w:rsidP="00CC251C">
            <w:pPr>
              <w:pStyle w:val="Tabletext"/>
            </w:pPr>
            <w:r>
              <w:rPr>
                <w:rFonts w:ascii="Open Sans Light" w:hAnsi="Open Sans Light" w:cs="Open Sans Light"/>
                <w:color w:val="000000"/>
              </w:rPr>
              <w:t>Visualizing shapes and objects in multiple views.</w:t>
            </w:r>
          </w:p>
        </w:tc>
        <w:tc>
          <w:tcPr>
            <w:tcW w:w="877" w:type="dxa"/>
            <w:tcBorders>
              <w:top w:val="single" w:sz="8" w:space="0" w:color="auto"/>
              <w:left w:val="nil"/>
              <w:bottom w:val="single" w:sz="8" w:space="0" w:color="auto"/>
            </w:tcBorders>
            <w:vAlign w:val="bottom"/>
          </w:tcPr>
          <w:p w14:paraId="5521F425" w14:textId="4E89D8EB" w:rsidR="00CC251C" w:rsidRPr="00ED28EF" w:rsidRDefault="00CC251C" w:rsidP="00CC251C">
            <w:pPr>
              <w:pStyle w:val="Tabletext"/>
              <w:rPr>
                <w:rStyle w:val="Formentry12ptopunderline"/>
              </w:rPr>
            </w:pPr>
          </w:p>
        </w:tc>
      </w:tr>
      <w:tr w:rsidR="00CC251C" w:rsidRPr="009F713B" w14:paraId="7EDE9D68" w14:textId="77777777" w:rsidTr="004B4D28">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CC251C" w:rsidRPr="00334670" w:rsidRDefault="00CC251C" w:rsidP="00CC251C">
            <w:pPr>
              <w:pStyle w:val="TableLeftcolumn"/>
            </w:pPr>
            <w:r w:rsidRPr="00334670">
              <w:t>1.5</w:t>
            </w:r>
          </w:p>
        </w:tc>
        <w:tc>
          <w:tcPr>
            <w:tcW w:w="8200" w:type="dxa"/>
            <w:vAlign w:val="center"/>
          </w:tcPr>
          <w:p w14:paraId="04CD95B0" w14:textId="3BC0330A" w:rsidR="00CC251C" w:rsidRPr="00334670" w:rsidRDefault="00CC251C" w:rsidP="00CC251C">
            <w:pPr>
              <w:pStyle w:val="Tabletext"/>
            </w:pPr>
            <w:r>
              <w:rPr>
                <w:rFonts w:ascii="Open Sans Light" w:hAnsi="Open Sans Light" w:cs="Open Sans Light"/>
                <w:color w:val="000000"/>
              </w:rPr>
              <w:t>Ability to convert fractions and decimals proficiently.</w:t>
            </w:r>
          </w:p>
        </w:tc>
        <w:tc>
          <w:tcPr>
            <w:tcW w:w="877" w:type="dxa"/>
            <w:tcBorders>
              <w:top w:val="single" w:sz="8" w:space="0" w:color="auto"/>
              <w:left w:val="nil"/>
              <w:bottom w:val="single" w:sz="8" w:space="0" w:color="auto"/>
            </w:tcBorders>
            <w:vAlign w:val="bottom"/>
          </w:tcPr>
          <w:p w14:paraId="5DF443EC" w14:textId="19538431" w:rsidR="00CC251C" w:rsidRPr="00ED28EF" w:rsidRDefault="00CC251C" w:rsidP="00CC251C">
            <w:pPr>
              <w:pStyle w:val="Tabletext"/>
              <w:rPr>
                <w:rStyle w:val="Formentry12ptopunderline"/>
              </w:rPr>
            </w:pPr>
          </w:p>
        </w:tc>
      </w:tr>
      <w:tr w:rsidR="00CC251C" w:rsidRPr="009F713B" w14:paraId="6D699A78" w14:textId="77777777" w:rsidTr="004B4D28">
        <w:tc>
          <w:tcPr>
            <w:tcW w:w="705" w:type="dxa"/>
          </w:tcPr>
          <w:p w14:paraId="203E711C" w14:textId="2378C641" w:rsidR="00CC251C" w:rsidRPr="00334670" w:rsidRDefault="00CC251C" w:rsidP="00CC251C">
            <w:pPr>
              <w:pStyle w:val="TableLeftcolumn"/>
            </w:pPr>
            <w:r>
              <w:t>1.6</w:t>
            </w:r>
          </w:p>
        </w:tc>
        <w:tc>
          <w:tcPr>
            <w:tcW w:w="8200" w:type="dxa"/>
            <w:vAlign w:val="center"/>
          </w:tcPr>
          <w:p w14:paraId="16860BD4" w14:textId="5772D17C" w:rsidR="00CC251C" w:rsidRPr="00334670" w:rsidRDefault="00CC251C" w:rsidP="00CC251C">
            <w:pPr>
              <w:pStyle w:val="Tabletext"/>
            </w:pPr>
            <w:r>
              <w:rPr>
                <w:rFonts w:ascii="Open Sans Light" w:hAnsi="Open Sans Light" w:cs="Open Sans Light"/>
                <w:color w:val="000000"/>
              </w:rPr>
              <w:t>Interpret inch and metric drawings.</w:t>
            </w:r>
          </w:p>
        </w:tc>
        <w:tc>
          <w:tcPr>
            <w:tcW w:w="877" w:type="dxa"/>
            <w:tcBorders>
              <w:top w:val="single" w:sz="8" w:space="0" w:color="auto"/>
              <w:left w:val="nil"/>
              <w:bottom w:val="single" w:sz="8" w:space="0" w:color="auto"/>
            </w:tcBorders>
            <w:vAlign w:val="bottom"/>
          </w:tcPr>
          <w:p w14:paraId="2F807086" w14:textId="77777777" w:rsidR="00CC251C" w:rsidRPr="00ED28EF" w:rsidRDefault="00CC251C" w:rsidP="00CC251C">
            <w:pPr>
              <w:pStyle w:val="Tabletext"/>
              <w:rPr>
                <w:rStyle w:val="Formentry12ptopunderline"/>
              </w:rPr>
            </w:pPr>
          </w:p>
        </w:tc>
      </w:tr>
      <w:tr w:rsidR="00CC251C" w:rsidRPr="009F713B" w14:paraId="25B6BF8C" w14:textId="77777777" w:rsidTr="004B4D28">
        <w:trPr>
          <w:cnfStyle w:val="000000100000" w:firstRow="0" w:lastRow="0" w:firstColumn="0" w:lastColumn="0" w:oddVBand="0" w:evenVBand="0" w:oddHBand="1" w:evenHBand="0" w:firstRowFirstColumn="0" w:firstRowLastColumn="0" w:lastRowFirstColumn="0" w:lastRowLastColumn="0"/>
        </w:trPr>
        <w:tc>
          <w:tcPr>
            <w:tcW w:w="705" w:type="dxa"/>
          </w:tcPr>
          <w:p w14:paraId="1788CE5B" w14:textId="7233D627" w:rsidR="00CC251C" w:rsidRPr="00334670" w:rsidRDefault="00CC251C" w:rsidP="00CC251C">
            <w:pPr>
              <w:pStyle w:val="TableLeftcolumn"/>
            </w:pPr>
            <w:r>
              <w:t>1.7</w:t>
            </w:r>
          </w:p>
        </w:tc>
        <w:tc>
          <w:tcPr>
            <w:tcW w:w="8200" w:type="dxa"/>
            <w:vAlign w:val="center"/>
          </w:tcPr>
          <w:p w14:paraId="7661452F" w14:textId="6ADB6D7E" w:rsidR="00CC251C" w:rsidRPr="00334670" w:rsidRDefault="00CC251C" w:rsidP="00CC251C">
            <w:pPr>
              <w:pStyle w:val="Tabletext"/>
            </w:pPr>
            <w:r>
              <w:rPr>
                <w:rFonts w:ascii="Open Sans Light" w:hAnsi="Open Sans Light" w:cs="Open Sans Light"/>
                <w:color w:val="000000"/>
              </w:rPr>
              <w:t>Demonstrate legend and note reading skills.</w:t>
            </w:r>
          </w:p>
        </w:tc>
        <w:tc>
          <w:tcPr>
            <w:tcW w:w="877" w:type="dxa"/>
            <w:tcBorders>
              <w:top w:val="single" w:sz="8" w:space="0" w:color="auto"/>
              <w:left w:val="nil"/>
              <w:bottom w:val="single" w:sz="8" w:space="0" w:color="auto"/>
            </w:tcBorders>
            <w:vAlign w:val="bottom"/>
          </w:tcPr>
          <w:p w14:paraId="0CA80AE6" w14:textId="77777777" w:rsidR="00CC251C" w:rsidRPr="00ED28EF" w:rsidRDefault="00CC251C" w:rsidP="00CC251C">
            <w:pPr>
              <w:pStyle w:val="Tabletext"/>
              <w:rPr>
                <w:rStyle w:val="Formentry12ptopunderline"/>
              </w:rPr>
            </w:pPr>
          </w:p>
        </w:tc>
      </w:tr>
      <w:tr w:rsidR="00CC251C" w:rsidRPr="009F713B" w14:paraId="5862725D" w14:textId="77777777" w:rsidTr="004B4D28">
        <w:tc>
          <w:tcPr>
            <w:tcW w:w="705" w:type="dxa"/>
          </w:tcPr>
          <w:p w14:paraId="32FB5BC2" w14:textId="1F46D53E" w:rsidR="00CC251C" w:rsidRPr="00334670" w:rsidRDefault="00CC251C" w:rsidP="00CC251C">
            <w:pPr>
              <w:pStyle w:val="TableLeftcolumn"/>
            </w:pPr>
            <w:r>
              <w:t>1.8</w:t>
            </w:r>
          </w:p>
        </w:tc>
        <w:tc>
          <w:tcPr>
            <w:tcW w:w="8200" w:type="dxa"/>
            <w:vAlign w:val="center"/>
          </w:tcPr>
          <w:p w14:paraId="6FFBE416" w14:textId="7F0466BE" w:rsidR="00CC251C" w:rsidRPr="00334670" w:rsidRDefault="00CC251C" w:rsidP="00CC251C">
            <w:pPr>
              <w:pStyle w:val="Tabletext"/>
            </w:pPr>
            <w:r>
              <w:rPr>
                <w:rFonts w:ascii="Open Sans Light" w:hAnsi="Open Sans Light" w:cs="Open Sans Light"/>
                <w:color w:val="000000"/>
              </w:rPr>
              <w:t>Interpret basic geometric dimensioning and tolerancing terminology.</w:t>
            </w:r>
          </w:p>
        </w:tc>
        <w:tc>
          <w:tcPr>
            <w:tcW w:w="877" w:type="dxa"/>
            <w:tcBorders>
              <w:top w:val="single" w:sz="8" w:space="0" w:color="auto"/>
              <w:left w:val="nil"/>
              <w:bottom w:val="single" w:sz="8" w:space="0" w:color="auto"/>
            </w:tcBorders>
            <w:vAlign w:val="bottom"/>
          </w:tcPr>
          <w:p w14:paraId="2D6A0C31" w14:textId="77777777" w:rsidR="00CC251C" w:rsidRPr="00ED28EF" w:rsidRDefault="00CC251C" w:rsidP="00CC251C">
            <w:pPr>
              <w:pStyle w:val="Tabletext"/>
              <w:rPr>
                <w:rStyle w:val="Formentry12ptopunderline"/>
              </w:rPr>
            </w:pPr>
          </w:p>
        </w:tc>
      </w:tr>
      <w:tr w:rsidR="00CC251C" w:rsidRPr="009F713B" w14:paraId="5F7187D9" w14:textId="77777777" w:rsidTr="004B4D28">
        <w:trPr>
          <w:cnfStyle w:val="000000100000" w:firstRow="0" w:lastRow="0" w:firstColumn="0" w:lastColumn="0" w:oddVBand="0" w:evenVBand="0" w:oddHBand="1" w:evenHBand="0" w:firstRowFirstColumn="0" w:firstRowLastColumn="0" w:lastRowFirstColumn="0" w:lastRowLastColumn="0"/>
        </w:trPr>
        <w:tc>
          <w:tcPr>
            <w:tcW w:w="705" w:type="dxa"/>
          </w:tcPr>
          <w:p w14:paraId="6994B346" w14:textId="7DDC5017" w:rsidR="00CC251C" w:rsidRPr="00334670" w:rsidRDefault="00CC251C" w:rsidP="00CC251C">
            <w:pPr>
              <w:pStyle w:val="TableLeftcolumn"/>
            </w:pPr>
            <w:r>
              <w:t>1.9</w:t>
            </w:r>
          </w:p>
        </w:tc>
        <w:tc>
          <w:tcPr>
            <w:tcW w:w="8200" w:type="dxa"/>
            <w:vAlign w:val="center"/>
          </w:tcPr>
          <w:p w14:paraId="08AE63E4" w14:textId="66E67D7C" w:rsidR="00CC251C" w:rsidRPr="00334670" w:rsidRDefault="00CC251C" w:rsidP="00CC251C">
            <w:pPr>
              <w:pStyle w:val="Tabletext"/>
            </w:pPr>
            <w:r>
              <w:rPr>
                <w:rFonts w:ascii="Open Sans Light" w:hAnsi="Open Sans Light" w:cs="Open Sans Light"/>
                <w:color w:val="000000"/>
              </w:rPr>
              <w:t>Identify different views utilized in blueprint reading.</w:t>
            </w:r>
          </w:p>
        </w:tc>
        <w:tc>
          <w:tcPr>
            <w:tcW w:w="877" w:type="dxa"/>
            <w:tcBorders>
              <w:top w:val="single" w:sz="8" w:space="0" w:color="auto"/>
              <w:left w:val="nil"/>
              <w:bottom w:val="single" w:sz="8" w:space="0" w:color="auto"/>
            </w:tcBorders>
            <w:vAlign w:val="bottom"/>
          </w:tcPr>
          <w:p w14:paraId="253AE50A" w14:textId="77777777" w:rsidR="00CC251C" w:rsidRPr="00ED28EF" w:rsidRDefault="00CC251C" w:rsidP="00CC251C">
            <w:pPr>
              <w:pStyle w:val="Tabletext"/>
              <w:rPr>
                <w:rStyle w:val="Formentry12ptopunderline"/>
              </w:rPr>
            </w:pPr>
          </w:p>
        </w:tc>
      </w:tr>
      <w:tr w:rsidR="00CC251C" w:rsidRPr="009F713B" w14:paraId="12573C07" w14:textId="77777777" w:rsidTr="004B4D28">
        <w:tc>
          <w:tcPr>
            <w:tcW w:w="705" w:type="dxa"/>
          </w:tcPr>
          <w:p w14:paraId="365F9892" w14:textId="0D4C8909" w:rsidR="00CC251C" w:rsidRPr="00334670" w:rsidRDefault="00CC251C" w:rsidP="00CC251C">
            <w:pPr>
              <w:pStyle w:val="TableLeftcolumn"/>
            </w:pPr>
            <w:r>
              <w:t>1.10</w:t>
            </w:r>
          </w:p>
        </w:tc>
        <w:tc>
          <w:tcPr>
            <w:tcW w:w="8200" w:type="dxa"/>
            <w:vAlign w:val="center"/>
          </w:tcPr>
          <w:p w14:paraId="0C6CDD4D" w14:textId="3368DEA1" w:rsidR="00CC251C" w:rsidRPr="00334670" w:rsidRDefault="00CC251C" w:rsidP="00CC251C">
            <w:pPr>
              <w:pStyle w:val="Tabletext"/>
            </w:pPr>
            <w:r>
              <w:rPr>
                <w:rFonts w:ascii="Open Sans Light" w:hAnsi="Open Sans Light" w:cs="Open Sans Light"/>
                <w:color w:val="000000"/>
              </w:rPr>
              <w:t>Identify orthographic projection such as lines and symbols for electrical, piping, mechanical, architectural, welding, and machining prints.</w:t>
            </w:r>
          </w:p>
        </w:tc>
        <w:tc>
          <w:tcPr>
            <w:tcW w:w="877" w:type="dxa"/>
            <w:tcBorders>
              <w:top w:val="single" w:sz="8" w:space="0" w:color="auto"/>
              <w:left w:val="nil"/>
              <w:bottom w:val="single" w:sz="8" w:space="0" w:color="auto"/>
            </w:tcBorders>
            <w:vAlign w:val="bottom"/>
          </w:tcPr>
          <w:p w14:paraId="477298A8" w14:textId="77777777" w:rsidR="00CC251C" w:rsidRPr="00ED28EF" w:rsidRDefault="00CC251C" w:rsidP="00CC251C">
            <w:pPr>
              <w:pStyle w:val="Tabletext"/>
              <w:rPr>
                <w:rStyle w:val="Formentry12ptopunderline"/>
              </w:rPr>
            </w:pPr>
          </w:p>
        </w:tc>
      </w:tr>
    </w:tbl>
    <w:p w14:paraId="3A9F2AF3" w14:textId="77777777" w:rsidR="002D4D18" w:rsidRDefault="002D4D18" w:rsidP="00C41189">
      <w:pPr>
        <w:pStyle w:val="NoSpacing"/>
      </w:pPr>
    </w:p>
    <w:p w14:paraId="63AF1EEE" w14:textId="77777777" w:rsidR="00144EAA" w:rsidRDefault="00144EAA" w:rsidP="00C41189">
      <w:pPr>
        <w:pStyle w:val="NoSpacing"/>
      </w:pPr>
    </w:p>
    <w:p w14:paraId="23D753C7" w14:textId="77777777" w:rsidR="00144EAA" w:rsidRDefault="00144EAA"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EA3812D"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C529FF1"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E23A3D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649FA">
      <w:rPr>
        <w:noProof/>
      </w:rPr>
      <w:t>January 21,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0A1B49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1509F">
      <w:rPr>
        <w:rStyle w:val="Strong"/>
      </w:rPr>
      <w:t>Production Print Reading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C251C">
      <w:rPr>
        <w:rStyle w:val="Strong"/>
      </w:rPr>
      <w:t>21108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44EAA"/>
    <w:rsid w:val="00174313"/>
    <w:rsid w:val="001C3C11"/>
    <w:rsid w:val="001C6C73"/>
    <w:rsid w:val="001E699D"/>
    <w:rsid w:val="001F1A82"/>
    <w:rsid w:val="00202D35"/>
    <w:rsid w:val="00243870"/>
    <w:rsid w:val="00247BCA"/>
    <w:rsid w:val="002679D6"/>
    <w:rsid w:val="00292DE4"/>
    <w:rsid w:val="00297A93"/>
    <w:rsid w:val="002D4D18"/>
    <w:rsid w:val="002F76E2"/>
    <w:rsid w:val="0030220F"/>
    <w:rsid w:val="00316F97"/>
    <w:rsid w:val="00334670"/>
    <w:rsid w:val="00383E0B"/>
    <w:rsid w:val="003962B7"/>
    <w:rsid w:val="003A5603"/>
    <w:rsid w:val="003F2990"/>
    <w:rsid w:val="003F6779"/>
    <w:rsid w:val="00423058"/>
    <w:rsid w:val="004649FA"/>
    <w:rsid w:val="004B4D28"/>
    <w:rsid w:val="004E0952"/>
    <w:rsid w:val="004F79E8"/>
    <w:rsid w:val="00511B2C"/>
    <w:rsid w:val="00604F09"/>
    <w:rsid w:val="006222D6"/>
    <w:rsid w:val="006C5BD0"/>
    <w:rsid w:val="006D77DE"/>
    <w:rsid w:val="006F47A9"/>
    <w:rsid w:val="007039C1"/>
    <w:rsid w:val="00770D8B"/>
    <w:rsid w:val="00784FF1"/>
    <w:rsid w:val="00830497"/>
    <w:rsid w:val="00866115"/>
    <w:rsid w:val="008C1120"/>
    <w:rsid w:val="00906D59"/>
    <w:rsid w:val="00923587"/>
    <w:rsid w:val="009268E8"/>
    <w:rsid w:val="009C4EE4"/>
    <w:rsid w:val="009F713B"/>
    <w:rsid w:val="00A04D82"/>
    <w:rsid w:val="00A1509F"/>
    <w:rsid w:val="00A46B8D"/>
    <w:rsid w:val="00A75AB0"/>
    <w:rsid w:val="00A77F13"/>
    <w:rsid w:val="00A934AD"/>
    <w:rsid w:val="00AB186E"/>
    <w:rsid w:val="00B23A06"/>
    <w:rsid w:val="00B30998"/>
    <w:rsid w:val="00B53F62"/>
    <w:rsid w:val="00C22ECE"/>
    <w:rsid w:val="00C41189"/>
    <w:rsid w:val="00C763C1"/>
    <w:rsid w:val="00C943C0"/>
    <w:rsid w:val="00CB5B81"/>
    <w:rsid w:val="00CB777D"/>
    <w:rsid w:val="00CC1C7A"/>
    <w:rsid w:val="00CC251C"/>
    <w:rsid w:val="00CE62B8"/>
    <w:rsid w:val="00D53139"/>
    <w:rsid w:val="00D945CA"/>
    <w:rsid w:val="00E31DC3"/>
    <w:rsid w:val="00E358DD"/>
    <w:rsid w:val="00E3707B"/>
    <w:rsid w:val="00E37A38"/>
    <w:rsid w:val="00E515C8"/>
    <w:rsid w:val="00E779FD"/>
    <w:rsid w:val="00EA1143"/>
    <w:rsid w:val="00EB487C"/>
    <w:rsid w:val="00ED28EF"/>
    <w:rsid w:val="00F00245"/>
    <w:rsid w:val="00F67870"/>
    <w:rsid w:val="00F86D0D"/>
    <w:rsid w:val="00FA31C7"/>
    <w:rsid w:val="00FC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01438073">
      <w:bodyDiv w:val="1"/>
      <w:marLeft w:val="0"/>
      <w:marRight w:val="0"/>
      <w:marTop w:val="0"/>
      <w:marBottom w:val="0"/>
      <w:divBdr>
        <w:top w:val="none" w:sz="0" w:space="0" w:color="auto"/>
        <w:left w:val="none" w:sz="0" w:space="0" w:color="auto"/>
        <w:bottom w:val="none" w:sz="0" w:space="0" w:color="auto"/>
        <w:right w:val="none" w:sz="0" w:space="0" w:color="auto"/>
      </w:divBdr>
    </w:div>
    <w:div w:id="1609771812">
      <w:bodyDiv w:val="1"/>
      <w:marLeft w:val="0"/>
      <w:marRight w:val="0"/>
      <w:marTop w:val="0"/>
      <w:marBottom w:val="0"/>
      <w:divBdr>
        <w:top w:val="none" w:sz="0" w:space="0" w:color="auto"/>
        <w:left w:val="none" w:sz="0" w:space="0" w:color="auto"/>
        <w:bottom w:val="none" w:sz="0" w:space="0" w:color="auto"/>
        <w:right w:val="none" w:sz="0" w:space="0" w:color="auto"/>
      </w:divBdr>
      <w:divsChild>
        <w:div w:id="1099791284">
          <w:marLeft w:val="0"/>
          <w:marRight w:val="0"/>
          <w:marTop w:val="0"/>
          <w:marBottom w:val="0"/>
          <w:divBdr>
            <w:top w:val="none" w:sz="0" w:space="0" w:color="auto"/>
            <w:left w:val="none" w:sz="0" w:space="0" w:color="auto"/>
            <w:bottom w:val="none" w:sz="0" w:space="0" w:color="auto"/>
            <w:right w:val="none" w:sz="0" w:space="0" w:color="auto"/>
          </w:divBdr>
        </w:div>
      </w:divsChild>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A77E2E"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F47A9"/>
    <w:rsid w:val="007800D7"/>
    <w:rsid w:val="00A77E2E"/>
    <w:rsid w:val="00CB777D"/>
    <w:rsid w:val="00D9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Production Print Reading I</vt:lpstr>
    </vt:vector>
  </TitlesOfParts>
  <Company>Kansas State Department of Education</Company>
  <LinksUpToDate>false</LinksUpToDate>
  <CharactersWithSpaces>3264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Print Reading I</dc:title>
  <dc:subject>21108</dc:subject>
  <dc:creator>Cheryl Franklin</dc:creator>
  <cp:keywords/>
  <dc:description>0.5</dc:description>
  <cp:lastModifiedBy>Barbara A. Bahm</cp:lastModifiedBy>
  <cp:revision>6</cp:revision>
  <cp:lastPrinted>2023-05-25T21:45:00Z</cp:lastPrinted>
  <dcterms:created xsi:type="dcterms:W3CDTF">2024-04-08T13:39:00Z</dcterms:created>
  <dcterms:modified xsi:type="dcterms:W3CDTF">2025-01-21T16:58:00Z</dcterms:modified>
  <cp:category/>
</cp:coreProperties>
</file>